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63008C" w:sz="12" w:space="6"/>
        </w:pBdr>
        <w:spacing w:after="60"/>
        <w:jc w:val="center"/>
      </w:pPr>
      <w:r>
        <w:rPr>
          <w:rFonts w:ascii="Calibri" w:cs="Calibri" w:eastAsia="Calibri" w:hAnsi="Calibri"/>
          <w:b/>
          <w:bCs/>
          <w:color w:val="63008C"/>
          <w:sz w:val="15"/>
          <w:szCs w:val="15"/>
        </w:rPr>
        <w:t xml:space="preserve">FORUM DES CRÉATIONS ARTISTIQUES (FOCA) · MODÈLE DE CONTRAT</w:t>
      </w:r>
    </w:p>
    <w:p>
      <w:pPr>
        <w:spacing w:after="80" w:before="360"/>
        <w:jc w:val="center"/>
      </w:pPr>
      <w:r>
        <w:rPr>
          <w:b/>
          <w:bCs/>
          <w:sz w:val="30"/>
          <w:szCs w:val="30"/>
        </w:rPr>
        <w:t xml:space="preserve">Contrat de cession des droits d’adaptation cinématographique d’une œuvre littéraire</w:t>
      </w:r>
    </w:p>
    <w:p>
      <w:pPr>
        <w:spacing w:after="360"/>
        <w:jc w:val="center"/>
      </w:pPr>
      <w:r>
        <w:rPr>
          <w:rFonts w:ascii="Calibri" w:cs="Calibri" w:eastAsia="Calibri" w:hAnsi="Calibri"/>
          <w:i/>
          <w:iCs/>
          <w:color w:val="666666"/>
          <w:sz w:val="17"/>
          <w:szCs w:val="17"/>
        </w:rPr>
        <w:t xml:space="preserve">Modèle à compléter — les mentions « …… » sont à renseigner par les parties</w:t>
      </w:r>
    </w:p>
    <w:p>
      <w:pPr>
        <w:spacing w:after="120"/>
        <w:jc w:val="both"/>
      </w:pPr>
      <w:r>
        <w:rPr>
          <w:b w:val="false"/>
          <w:bCs w:val="false"/>
        </w:rPr>
        <w:t xml:space="preserve">Entre les soussignés :</w:t>
      </w:r>
    </w:p>
    <w:p>
      <w:pPr>
        <w:spacing w:after="120"/>
        <w:jc w:val="both"/>
      </w:pPr>
      <w:r>
        <w:rPr>
          <w:b w:val="false"/>
          <w:bCs w:val="false"/>
        </w:rPr>
        <w:t xml:space="preserve">Madame/Monsieur ……………………, auteur de nationalité …………………… de l’ouvrage intitulé “……………………” une oeuvre de fiction et élaborée en dessin animé, ci-après dénommé</w:t>
      </w:r>
    </w:p>
    <w:p>
      <w:pPr>
        <w:spacing w:after="120"/>
        <w:jc w:val="both"/>
      </w:pPr>
      <w:r>
        <w:rPr>
          <w:b w:val="false"/>
          <w:bCs w:val="false"/>
        </w:rPr>
        <w:t xml:space="preserve">Auteur,</w:t>
      </w:r>
    </w:p>
    <w:p>
      <w:pPr>
        <w:spacing w:after="120"/>
        <w:jc w:val="both"/>
      </w:pPr>
      <w:r>
        <w:rPr>
          <w:b w:val="false"/>
          <w:bCs w:val="false"/>
        </w:rPr>
        <w:t xml:space="preserve">D’une part,</w:t>
      </w:r>
    </w:p>
    <w:p>
      <w:pPr>
        <w:spacing w:after="120"/>
        <w:jc w:val="both"/>
      </w:pPr>
      <w:r>
        <w:rPr>
          <w:b w:val="false"/>
          <w:bCs w:val="false"/>
        </w:rPr>
        <w:t xml:space="preserve">Et la société ……………………, une entreprise à responsabilité limitée representee par Monsieur …………………… son Directeur Général, si-après dénommé</w:t>
      </w:r>
    </w:p>
    <w:p>
      <w:pPr>
        <w:spacing w:after="120"/>
        <w:jc w:val="both"/>
      </w:pPr>
      <w:r>
        <w:rPr>
          <w:b/>
          <w:bCs/>
        </w:rPr>
        <w:t xml:space="preserve">Editeur</w:t>
      </w:r>
    </w:p>
    <w:p>
      <w:pPr>
        <w:spacing w:after="120"/>
        <w:jc w:val="both"/>
      </w:pPr>
      <w:r>
        <w:rPr>
          <w:b w:val="false"/>
          <w:bCs w:val="false"/>
        </w:rPr>
        <w:t xml:space="preserve">d’autre part,</w:t>
      </w:r>
    </w:p>
    <w:p>
      <w:pPr>
        <w:spacing w:after="120"/>
        <w:jc w:val="both"/>
      </w:pPr>
      <w:r>
        <w:rPr>
          <w:b w:val="false"/>
          <w:bCs w:val="false"/>
        </w:rPr>
        <w:t xml:space="preserve">Etant préalablement établi que:</w:t>
      </w:r>
    </w:p>
    <w:p>
      <w:pPr>
        <w:pStyle w:val="ListParagraph"/>
        <w:numPr>
          <w:ilvl w:val="0"/>
          <w:numId w:val="2"/>
        </w:numPr>
        <w:spacing w:after="60"/>
        <w:jc w:val="both"/>
      </w:pPr>
      <w:r>
        <w:t xml:space="preserve">Madame/Monsieur ……………………, auteur de nationalité …………………… de l’ouvrage intitulé “……………………” une oeuvre de fiction et élaborée en dessin animé, et</w:t>
      </w:r>
    </w:p>
    <w:p>
      <w:pPr>
        <w:pStyle w:val="ListParagraph"/>
        <w:numPr>
          <w:ilvl w:val="0"/>
          <w:numId w:val="2"/>
        </w:numPr>
        <w:spacing w:after="60"/>
        <w:jc w:val="both"/>
      </w:pPr>
      <w:r>
        <w:t xml:space="preserve">qu’il a manifesté le besoin de recourir aux services d’un éditeur aux fins de l’édition, de la reproduction et de la diffusion de son œuvre ci-dessus citée</w:t>
      </w:r>
    </w:p>
    <w:p>
      <w:pPr>
        <w:pStyle w:val="ListParagraph"/>
        <w:numPr>
          <w:ilvl w:val="0"/>
          <w:numId w:val="2"/>
        </w:numPr>
        <w:spacing w:after="60"/>
        <w:jc w:val="both"/>
      </w:pPr>
      <w:r>
        <w:t xml:space="preserve">La société ……………………, exerçant dans le domaine de l’édition, la reproduction, l’impression, et la distribution des œuvres littéraires, a accepté le projet d’édition de l’ouvrage ci-dessus cité</w:t>
      </w:r>
    </w:p>
    <w:p>
      <w:pPr>
        <w:pStyle w:val="ListParagraph"/>
        <w:numPr>
          <w:ilvl w:val="0"/>
          <w:numId w:val="2"/>
        </w:numPr>
        <w:spacing w:after="60"/>
        <w:jc w:val="both"/>
      </w:pPr>
      <w:r>
        <w:t xml:space="preserve">Les deux parties ont convenu, suivant le présent contrat, de se rapprocher aux fins de conclure ensemble les termes contractuels qu’ils auraient arrêtés et convenus entre elles.</w:t>
      </w:r>
    </w:p>
    <w:p>
      <w:pPr>
        <w:pStyle w:val="Heading2"/>
        <w:spacing w:after="100" w:before="240"/>
      </w:pPr>
      <w:r>
        <w:rPr>
          <w:b/>
          <w:bCs/>
          <w:color w:val="63008C"/>
          <w:sz w:val="22"/>
          <w:szCs w:val="22"/>
        </w:rPr>
        <w:t xml:space="preserve">Article 1 : Objet</w:t>
      </w:r>
    </w:p>
    <w:p>
      <w:pPr>
        <w:spacing w:after="120"/>
        <w:jc w:val="both"/>
      </w:pPr>
      <w:r>
        <w:rPr>
          <w:b w:val="false"/>
          <w:bCs w:val="false"/>
        </w:rPr>
        <w:t xml:space="preserve">L’auteur cède à l’éditeur, qui accepte, pour lui et pour ses ayants droits, dans les termes des dispositions ci-après énoncées, le droit exclusif d’éditer, d’adapter d’imprimer, de reproduire, de publier, et de vendre ledit ouvrage dont le titre définitif est « …………………… »</w:t>
      </w:r>
    </w:p>
    <w:p>
      <w:pPr>
        <w:pStyle w:val="Heading2"/>
        <w:spacing w:after="100" w:before="240"/>
      </w:pPr>
      <w:r>
        <w:rPr>
          <w:b/>
          <w:bCs/>
          <w:color w:val="63008C"/>
          <w:sz w:val="22"/>
          <w:szCs w:val="22"/>
        </w:rPr>
        <w:t xml:space="preserve">Article 2. Titre de l’œuvre</w:t>
      </w:r>
    </w:p>
    <w:p>
      <w:pPr>
        <w:spacing w:after="120"/>
        <w:jc w:val="both"/>
      </w:pPr>
      <w:r>
        <w:rPr>
          <w:b w:val="false"/>
          <w:bCs w:val="false"/>
        </w:rPr>
        <w:t xml:space="preserve">Le titre définitif est retenu par accord entre l’auteur et l’éditeur. Ce faisant, l’auteur a le droit de contester la décision finale de l’éditeur, dans le cas où il serait fait atteinte à ses droits personnels.</w:t>
      </w:r>
    </w:p>
    <w:p>
      <w:pPr>
        <w:pStyle w:val="Heading2"/>
        <w:spacing w:after="100" w:before="240"/>
      </w:pPr>
      <w:r>
        <w:rPr>
          <w:b/>
          <w:bCs/>
          <w:color w:val="63008C"/>
          <w:sz w:val="22"/>
          <w:szCs w:val="22"/>
        </w:rPr>
        <w:t xml:space="preserve">Article 3. Propriété de l’œuvre</w:t>
      </w:r>
    </w:p>
    <w:p>
      <w:pPr>
        <w:spacing w:after="120"/>
        <w:jc w:val="both"/>
      </w:pPr>
      <w:r>
        <w:rPr>
          <w:b w:val="false"/>
          <w:bCs w:val="false"/>
        </w:rPr>
        <w:t xml:space="preserve">L’auteur assure qu’il est le seul à disposer des droits d’auteur, et qu’il n’a pris jusqu’alors aucune mesure de cession des droits qui font l’objet du présent contrat.</w:t>
      </w:r>
    </w:p>
    <w:p>
      <w:pPr>
        <w:pStyle w:val="Heading2"/>
        <w:spacing w:after="100" w:before="240"/>
      </w:pPr>
      <w:r>
        <w:rPr>
          <w:b/>
          <w:bCs/>
          <w:color w:val="63008C"/>
          <w:sz w:val="22"/>
          <w:szCs w:val="22"/>
        </w:rPr>
        <w:t xml:space="preserve">Article 4. Droits cédés</w:t>
      </w:r>
    </w:p>
    <w:p>
      <w:pPr>
        <w:spacing w:after="120"/>
        <w:jc w:val="both"/>
      </w:pPr>
      <w:r>
        <w:rPr>
          <w:b w:val="false"/>
          <w:bCs w:val="false"/>
        </w:rPr>
        <w:t xml:space="preserve">L’auteur transfère à l’éditeur, sans limitation spatiale / géographique et pour la durée légale des droits d’auteur, le droit exclusif de reproduction et de diffusion (droit d’édition) pour tous les exemplaires et toutes les éditions de l’œuvre, notamment :</w:t>
      </w:r>
    </w:p>
    <w:p>
      <w:pPr>
        <w:pStyle w:val="ListParagraph"/>
        <w:numPr>
          <w:ilvl w:val="0"/>
          <w:numId w:val="2"/>
        </w:numPr>
        <w:spacing w:after="60"/>
        <w:jc w:val="both"/>
      </w:pPr>
      <w:r>
        <w:t xml:space="preserve">le droit de reproduire tout ou partie de l’œuvre en prédication ou en post-publication dans des journaux et périodiques ;</w:t>
      </w:r>
    </w:p>
    <w:p>
      <w:pPr>
        <w:pStyle w:val="ListParagraph"/>
        <w:numPr>
          <w:ilvl w:val="0"/>
          <w:numId w:val="2"/>
        </w:numPr>
        <w:spacing w:after="60"/>
        <w:jc w:val="both"/>
      </w:pPr>
      <w:r>
        <w:t xml:space="preserve">le droit de traduction en une autre langue ;</w:t>
      </w:r>
    </w:p>
    <w:p>
      <w:pPr>
        <w:pStyle w:val="ListParagraph"/>
        <w:numPr>
          <w:ilvl w:val="0"/>
          <w:numId w:val="2"/>
        </w:numPr>
        <w:spacing w:after="60"/>
        <w:jc w:val="both"/>
      </w:pPr>
      <w:r>
        <w:t xml:space="preserve">le droit d’accorder des licences pour des éditions (langue de la première édition) ainsi qu’en livre de poche, et pour des éditions spéciales ;</w:t>
      </w:r>
    </w:p>
    <w:p>
      <w:pPr>
        <w:pStyle w:val="ListParagraph"/>
        <w:numPr>
          <w:ilvl w:val="0"/>
          <w:numId w:val="2"/>
        </w:numPr>
        <w:spacing w:after="60"/>
        <w:jc w:val="both"/>
      </w:pPr>
      <w:r>
        <w:t xml:space="preserve">le droit de cession d’éditions microfilmées ;</w:t>
      </w:r>
    </w:p>
    <w:p>
      <w:pPr>
        <w:pStyle w:val="ListParagraph"/>
        <w:numPr>
          <w:ilvl w:val="0"/>
          <w:numId w:val="2"/>
        </w:numPr>
        <w:spacing w:after="60"/>
        <w:jc w:val="both"/>
      </w:pPr>
      <w:r>
        <w:t xml:space="preserve">le droit à tout autre genre de reproduction, en particulier par des moyens photomécaniques et assimilés (par ex. Photocopie) ;</w:t>
      </w:r>
    </w:p>
    <w:p>
      <w:pPr>
        <w:pStyle w:val="ListParagraph"/>
        <w:numPr>
          <w:ilvl w:val="0"/>
          <w:numId w:val="2"/>
        </w:numPr>
        <w:spacing w:after="60"/>
        <w:jc w:val="both"/>
      </w:pPr>
      <w:r>
        <w:t xml:space="preserve">le droit d’enregistrement sur des installations destinées à une reproduction répétée par le biais de supports de sons et d’images, ainsi que le droit de copie, diffusion et reproduction de ces supports ;</w:t>
      </w:r>
    </w:p>
    <w:p>
      <w:pPr>
        <w:pStyle w:val="ListParagraph"/>
        <w:numPr>
          <w:ilvl w:val="0"/>
          <w:numId w:val="2"/>
        </w:numPr>
        <w:spacing w:after="60"/>
        <w:jc w:val="both"/>
      </w:pPr>
      <w:r>
        <w:t xml:space="preserve">le droit de faire tenir par des tiers, des exposés sur l’œuvre ;</w:t>
      </w:r>
    </w:p>
    <w:p>
      <w:pPr>
        <w:pStyle w:val="ListParagraph"/>
        <w:numPr>
          <w:ilvl w:val="0"/>
          <w:numId w:val="2"/>
        </w:numPr>
        <w:spacing w:after="60"/>
        <w:jc w:val="both"/>
      </w:pPr>
      <w:r>
        <w:t xml:space="preserve">le droit d’accorder des licences relatives à l’exercice des droits secondaires ;</w:t>
      </w:r>
    </w:p>
    <w:p>
      <w:pPr>
        <w:pStyle w:val="ListParagraph"/>
        <w:numPr>
          <w:ilvl w:val="0"/>
          <w:numId w:val="2"/>
        </w:numPr>
        <w:spacing w:after="60"/>
        <w:jc w:val="both"/>
      </w:pPr>
      <w:r>
        <w:t xml:space="preserve">le droit d’adapter en cinéma et plus généralement en audiovisuel.</w:t>
      </w:r>
    </w:p>
    <w:p>
      <w:pPr>
        <w:spacing w:after="120"/>
        <w:jc w:val="both"/>
      </w:pPr>
      <w:r>
        <w:rPr>
          <w:b w:val="false"/>
          <w:bCs w:val="false"/>
        </w:rPr>
        <w:t xml:space="preserve">En outre, l’auteur transfère à l’éditeur pour la durée légale du droit principal selon (1.), de façon intégrale ou individuelle, l’exclusivité des droits secondaires suivants.</w:t>
      </w:r>
    </w:p>
    <w:p>
      <w:pPr>
        <w:pStyle w:val="Heading2"/>
        <w:spacing w:after="100" w:before="240"/>
      </w:pPr>
      <w:r>
        <w:rPr>
          <w:b/>
          <w:bCs/>
          <w:color w:val="63008C"/>
          <w:sz w:val="22"/>
          <w:szCs w:val="22"/>
        </w:rPr>
        <w:t xml:space="preserve">Article 5. Limitations des droits de l’éditeur</w:t>
      </w:r>
    </w:p>
    <w:p>
      <w:pPr>
        <w:spacing w:after="120"/>
        <w:jc w:val="both"/>
      </w:pPr>
      <w:r>
        <w:rPr>
          <w:b w:val="false"/>
          <w:bCs w:val="false"/>
        </w:rPr>
        <w:t xml:space="preserve">La cession de droits telle que figurant à l’article précédent, connaît les limitations suivantes :</w:t>
      </w:r>
    </w:p>
    <w:p>
      <w:pPr>
        <w:spacing w:after="120"/>
        <w:jc w:val="both"/>
      </w:pPr>
      <w:r>
        <w:rPr>
          <w:b w:val="false"/>
          <w:bCs w:val="false"/>
        </w:rPr>
        <w:t xml:space="preserve">Le droit de cession des droits secondaires figurant en (4) expire en même temps que le droit principal tel qu’il est formulé sous (1). Les contrats de licence déjà passés ne tombent pas sous le coup de la présente limitation.</w:t>
      </w:r>
    </w:p>
    <w:p>
      <w:pPr>
        <w:pStyle w:val="Heading2"/>
        <w:spacing w:after="100" w:before="240"/>
      </w:pPr>
      <w:r>
        <w:rPr>
          <w:b/>
          <w:bCs/>
          <w:color w:val="63008C"/>
          <w:sz w:val="22"/>
          <w:szCs w:val="22"/>
        </w:rPr>
        <w:t xml:space="preserve">Article 6. Devoir de l’éditeur</w:t>
      </w:r>
    </w:p>
    <w:p>
      <w:pPr>
        <w:spacing w:after="120"/>
        <w:jc w:val="both"/>
      </w:pPr>
      <w:r>
        <w:rPr>
          <w:b w:val="false"/>
          <w:bCs w:val="false"/>
        </w:rPr>
        <w:t xml:space="preserve">L’éditeur est tenu de reproduire et de diffuser l’œuvre, et d’en faire la publicité de la manière la plus large possible.</w:t>
      </w:r>
    </w:p>
    <w:p>
      <w:pPr>
        <w:spacing w:after="120"/>
        <w:jc w:val="both"/>
      </w:pPr>
      <w:r>
        <w:rPr>
          <w:b w:val="false"/>
          <w:bCs w:val="false"/>
        </w:rPr>
        <w:t xml:space="preserve">Il est du devoir de l’éditeur de décider de la présentation, de la couverture, du nombre d’exemplaires, de la date de livraison, du prix au public, et des actions publicitaires en tenant compte des buts du présent contrat, et des normes et usages en vigueur en matière d’édition.</w:t>
      </w:r>
    </w:p>
    <w:p>
      <w:pPr>
        <w:spacing w:after="120"/>
        <w:jc w:val="both"/>
      </w:pPr>
      <w:r>
        <w:rPr>
          <w:b w:val="false"/>
          <w:bCs w:val="false"/>
        </w:rPr>
        <w:t xml:space="preserve">Le droit de l’éditeur de fixer le prix au public inclut également celui de rehausser ou de réduire ce prix, par la suite. En cas de réduction du prix au public, l’éditeur doit auparavant en informer l’auteur.</w:t>
      </w:r>
    </w:p>
    <w:p>
      <w:pPr>
        <w:pStyle w:val="Heading2"/>
        <w:spacing w:after="100" w:before="240"/>
      </w:pPr>
      <w:r>
        <w:rPr>
          <w:b/>
          <w:bCs/>
          <w:color w:val="63008C"/>
          <w:sz w:val="22"/>
          <w:szCs w:val="22"/>
        </w:rPr>
        <w:t xml:space="preserve">Article 7. Date de parution et tirage</w:t>
      </w:r>
    </w:p>
    <w:p>
      <w:pPr>
        <w:spacing w:after="120"/>
        <w:jc w:val="both"/>
      </w:pPr>
      <w:r>
        <w:rPr>
          <w:b w:val="false"/>
          <w:bCs w:val="false"/>
        </w:rPr>
        <w:t xml:space="preserve">La date de parution prévue est le : ………….</w:t>
      </w:r>
    </w:p>
    <w:p>
      <w:pPr>
        <w:spacing w:after="120"/>
        <w:jc w:val="both"/>
      </w:pPr>
      <w:r>
        <w:rPr>
          <w:b w:val="false"/>
          <w:bCs w:val="false"/>
        </w:rPr>
        <w:t xml:space="preserve">Le tirage prévu est de ….. exemplaires.</w:t>
      </w:r>
    </w:p>
    <w:p>
      <w:pPr>
        <w:spacing w:after="120"/>
        <w:jc w:val="both"/>
      </w:pPr>
      <w:r>
        <w:rPr>
          <w:b w:val="false"/>
          <w:bCs w:val="false"/>
        </w:rPr>
        <w:t xml:space="preserve">L’éditeur s’engage à faire figurer sur chacun des exemplaires de l’œuvre le nom de l’auteur, son pseudonyme ou la marque que celui-ci lui indiquera</w:t>
      </w:r>
    </w:p>
    <w:p>
      <w:pPr>
        <w:pStyle w:val="Heading2"/>
        <w:spacing w:after="100" w:before="240"/>
      </w:pPr>
      <w:r>
        <w:rPr>
          <w:b/>
          <w:bCs/>
          <w:color w:val="63008C"/>
          <w:sz w:val="22"/>
          <w:szCs w:val="22"/>
        </w:rPr>
        <w:t xml:space="preserve">Article 8. Rémunération</w:t>
      </w:r>
    </w:p>
    <w:p>
      <w:pPr>
        <w:spacing w:after="120"/>
        <w:jc w:val="both"/>
      </w:pPr>
      <w:r>
        <w:rPr>
          <w:b w:val="false"/>
          <w:bCs w:val="false"/>
        </w:rPr>
        <w:t xml:space="preserve">En rémunération de la cession qui lui est faite, l’éditeur versera sur tout exemplaire vendu de l’œuvre éditée par application du présent contrat, un droit d’auteur correspondant, sur le prix net hors taxe facturé au client, à 10 %</w:t>
      </w:r>
    </w:p>
    <w:p>
      <w:pPr>
        <w:spacing w:after="120"/>
        <w:jc w:val="both"/>
      </w:pPr>
      <w:r>
        <w:rPr>
          <w:b w:val="false"/>
          <w:bCs w:val="false"/>
        </w:rPr>
        <w:t xml:space="preserve">Les droits d’auteur ne portent ni sur les exemplaires de publicité, ni sur les exemplaires remis à l’auteur.</w:t>
      </w:r>
    </w:p>
    <w:p>
      <w:pPr>
        <w:spacing w:after="120"/>
        <w:jc w:val="both"/>
      </w:pPr>
      <w:r>
        <w:rPr>
          <w:b w:val="false"/>
          <w:bCs w:val="false"/>
        </w:rPr>
        <w:t xml:space="preserve">L’éditeur tiendra à la disposition de l’auteur toutes les informations suivantes :</w:t>
      </w:r>
    </w:p>
    <w:p>
      <w:pPr>
        <w:pStyle w:val="ListParagraph"/>
        <w:numPr>
          <w:ilvl w:val="0"/>
          <w:numId w:val="2"/>
        </w:numPr>
        <w:spacing w:after="60"/>
        <w:jc w:val="both"/>
      </w:pPr>
      <w:r>
        <w:t xml:space="preserve">le format des volumes</w:t>
      </w:r>
    </w:p>
    <w:p>
      <w:pPr>
        <w:pStyle w:val="ListParagraph"/>
        <w:numPr>
          <w:ilvl w:val="0"/>
          <w:numId w:val="2"/>
        </w:numPr>
        <w:spacing w:after="60"/>
        <w:jc w:val="both"/>
      </w:pPr>
      <w:r>
        <w:t xml:space="preserve">leur couverture et leur présentation intérieure</w:t>
      </w:r>
    </w:p>
    <w:p>
      <w:pPr>
        <w:pStyle w:val="ListParagraph"/>
        <w:numPr>
          <w:ilvl w:val="0"/>
          <w:numId w:val="2"/>
        </w:numPr>
        <w:spacing w:after="60"/>
        <w:jc w:val="both"/>
      </w:pPr>
      <w:r>
        <w:t xml:space="preserve">les chiffres des tirages selon les besoins des ventes</w:t>
      </w:r>
    </w:p>
    <w:p>
      <w:pPr>
        <w:pStyle w:val="ListParagraph"/>
        <w:numPr>
          <w:ilvl w:val="0"/>
          <w:numId w:val="2"/>
        </w:numPr>
        <w:spacing w:after="60"/>
        <w:jc w:val="both"/>
      </w:pPr>
      <w:r>
        <w:t xml:space="preserve">le prix public, hors taxe, des volumes</w:t>
      </w:r>
    </w:p>
    <w:p>
      <w:pPr>
        <w:pStyle w:val="ListParagraph"/>
        <w:numPr>
          <w:ilvl w:val="0"/>
          <w:numId w:val="2"/>
        </w:numPr>
        <w:spacing w:after="60"/>
        <w:jc w:val="both"/>
      </w:pPr>
      <w:r>
        <w:t xml:space="preserve">les dates de mise en vente, sous réserve du délai ci-dessus fixé pour la première édition, en tenant compte de l’intérêt commun des parties.</w:t>
      </w:r>
    </w:p>
    <w:p>
      <w:pPr>
        <w:pStyle w:val="Heading2"/>
        <w:spacing w:after="100" w:before="240"/>
      </w:pPr>
      <w:r>
        <w:rPr>
          <w:b/>
          <w:bCs/>
          <w:color w:val="63008C"/>
          <w:sz w:val="22"/>
          <w:szCs w:val="22"/>
        </w:rPr>
        <w:t xml:space="preserve">Article 9. Livraison, diffusion, réédition</w:t>
      </w:r>
    </w:p>
    <w:p>
      <w:pPr>
        <w:spacing w:after="120"/>
        <w:jc w:val="both"/>
      </w:pPr>
      <w:r>
        <w:rPr>
          <w:b w:val="false"/>
          <w:bCs w:val="false"/>
        </w:rPr>
        <w:t xml:space="preserve">L’éditeur s’engage à informer l’auteur, dès que la première édition est épuisée et ne peut plus être livrée.</w:t>
      </w:r>
    </w:p>
    <w:p>
      <w:pPr>
        <w:spacing w:after="120"/>
        <w:jc w:val="both"/>
      </w:pPr>
      <w:r>
        <w:rPr>
          <w:b w:val="false"/>
          <w:bCs w:val="false"/>
        </w:rPr>
        <w:t xml:space="preserve">L’auteur peut procéder à une révision de l’œuvre pour une réédition. Des modifications substantielles du caractère, du fond, de la forme et / ou du volume de l’œuvre doivent recevoir l’accord de l’éditeur.</w:t>
      </w:r>
    </w:p>
    <w:p>
      <w:pPr>
        <w:spacing w:after="120"/>
        <w:jc w:val="both"/>
      </w:pPr>
      <w:r>
        <w:rPr>
          <w:b w:val="false"/>
          <w:bCs w:val="false"/>
        </w:rPr>
        <w:t xml:space="preserve">Au cas où l’auteur ne pourrait ou ne voudrait procéder à la révision nécessaire dans un délai déterminé et fixé par accord entre les parties, l’éditeur a le droit de confier la révision à un tiers. Dans ce cas, toute modification substantielle du caractère de l’œuvre doit recevoir l’accord de l’auteur.</w:t>
      </w:r>
    </w:p>
    <w:p>
      <w:pPr>
        <w:spacing w:after="120"/>
        <w:jc w:val="both"/>
      </w:pPr>
      <w:r>
        <w:rPr>
          <w:b/>
          <w:bCs/>
        </w:rPr>
        <w:t xml:space="preserve">Fait à Ouagadougou</w:t>
      </w:r>
    </w:p>
    <w:p>
      <w:pPr>
        <w:spacing w:after="120"/>
        <w:jc w:val="both"/>
      </w:pPr>
      <w:r>
        <w:rPr>
          <w:b/>
          <w:bCs/>
        </w:rPr>
        <w:t xml:space="preserve">le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L’auteur</w:t>
            </w:r>
          </w:p>
        </w:tc>
        <w:tc>
          <w:tcPr>
            <w:tcW w:type="dxa" w:w="4680"/>
            <w:tcBorders>
              <w:top w:val="none" w:color="FFFFFF" w:sz="0"/>
              <w:left w:val="none" w:color="FFFFFF" w:sz="0"/>
              <w:bottom w:val="none" w:color="FFFFFF" w:sz="0"/>
              <w:right w:val="none" w:color="FFFFFF" w:sz="0"/>
            </w:tcBorders>
          </w:tcPr>
          <w:p>
            <w:r>
              <w:rPr>
                <w:b/>
                <w:bCs/>
              </w:rPr>
              <w:t xml:space="preserve">l’éditeur</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Madame/Monsieur ……………………,</w:t>
            </w:r>
          </w:p>
        </w:tc>
        <w:tc>
          <w:tcPr>
            <w:tcW w:type="dxa" w:w="4680"/>
            <w:tcBorders>
              <w:top w:val="none" w:color="FFFFFF" w:sz="0"/>
              <w:left w:val="none" w:color="FFFFFF" w:sz="0"/>
              <w:bottom w:val="none" w:color="FFFFFF" w:sz="0"/>
              <w:right w:val="none" w:color="FFFFFF" w:sz="0"/>
            </w:tcBorders>
          </w:tcPr>
          <w:p>
            <w:r>
              <w:rPr>
                <w:b w:val="false"/>
                <w:bCs w:val="false"/>
              </w:rPr>
              <w:t xml:space="preserve">……………………</w:t>
            </w:r>
          </w:p>
        </w:tc>
      </w:tr>
    </w:tbl>
    <w:p>
      <w:pPr>
        <w:spacing w:after="60"/>
      </w:pP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cession des droits d’adaptation cinématographique d’une œuvre littéraire</dc:title>
  <dc:creator>Forum des Créations Artistiques (FOCA)</dc:creator>
  <dc:description>Modèle de contrat — foca.website</dc:description>
  <cp:lastModifiedBy>Un-named</cp:lastModifiedBy>
  <cp:revision>1</cp:revision>
  <dcterms:created xsi:type="dcterms:W3CDTF">2026-09-24T09:52:21.906Z</dcterms:created>
  <dcterms:modified xsi:type="dcterms:W3CDTF">2026-09-24T09:52:21.922Z</dcterms:modified>
</cp:coreProperties>
</file>

<file path=docProps/custom.xml><?xml version="1.0" encoding="utf-8"?>
<Properties xmlns="http://schemas.openxmlformats.org/officeDocument/2006/custom-properties" xmlns:vt="http://schemas.openxmlformats.org/officeDocument/2006/docPropsVTypes"/>
</file>